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238B" w14:textId="77777777" w:rsidR="007C6444" w:rsidRDefault="007C6444" w:rsidP="007C6444">
      <w:pPr>
        <w:spacing w:line="56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bookmarkStart w:id="0" w:name="_Hlk191031527"/>
      <w:r>
        <w:rPr>
          <w:rFonts w:ascii="Times New Roman" w:eastAsia="华文中宋" w:hAnsi="Times New Roman" w:cs="Times New Roman"/>
          <w:sz w:val="36"/>
          <w:szCs w:val="36"/>
        </w:rPr>
        <w:t>托管行</w:t>
      </w:r>
      <w:bookmarkEnd w:id="0"/>
      <w:r>
        <w:rPr>
          <w:rFonts w:ascii="Times New Roman" w:eastAsia="华文中宋" w:hAnsi="Times New Roman" w:cs="Times New Roman" w:hint="eastAsia"/>
          <w:sz w:val="36"/>
          <w:szCs w:val="36"/>
        </w:rPr>
        <w:t>遴选资料清单</w:t>
      </w:r>
    </w:p>
    <w:p w14:paraId="2CF77885" w14:textId="77777777" w:rsidR="007C6444" w:rsidRDefault="007C6444" w:rsidP="007C6444">
      <w:pPr>
        <w:spacing w:line="560" w:lineRule="exact"/>
        <w:rPr>
          <w:rFonts w:ascii="楷体_GB2312" w:eastAsia="楷体_GB2312" w:hAnsi="Times New Roman" w:cs="Times New Roman"/>
          <w:sz w:val="24"/>
        </w:rPr>
      </w:pPr>
    </w:p>
    <w:tbl>
      <w:tblPr>
        <w:tblStyle w:val="11"/>
        <w:tblW w:w="7938" w:type="dxa"/>
        <w:jc w:val="center"/>
        <w:tblLook w:val="04A0" w:firstRow="1" w:lastRow="0" w:firstColumn="1" w:lastColumn="0" w:noHBand="0" w:noVBand="1"/>
      </w:tblPr>
      <w:tblGrid>
        <w:gridCol w:w="2694"/>
        <w:gridCol w:w="5244"/>
      </w:tblGrid>
      <w:tr w:rsidR="007C6444" w:rsidRPr="00B96F0A" w14:paraId="585F9A30" w14:textId="77777777" w:rsidTr="00CA1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CD744CF" w14:textId="77777777" w:rsidR="007C6444" w:rsidRPr="00B96F0A" w:rsidRDefault="007C6444" w:rsidP="00D52B35">
            <w:pPr>
              <w:spacing w:line="56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评审维度</w:t>
            </w:r>
          </w:p>
        </w:tc>
        <w:tc>
          <w:tcPr>
            <w:tcW w:w="5244" w:type="dxa"/>
          </w:tcPr>
          <w:p w14:paraId="59777F68" w14:textId="77777777" w:rsidR="007C6444" w:rsidRPr="00B96F0A" w:rsidRDefault="007C6444" w:rsidP="00D52B35">
            <w:pPr>
              <w:spacing w:line="5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要求及所需资料</w:t>
            </w:r>
          </w:p>
        </w:tc>
      </w:tr>
      <w:tr w:rsidR="007C6444" w:rsidRPr="00B96F0A" w14:paraId="54BFF52F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BDBDB" w:themeFill="accent3" w:themeFillTint="66"/>
          </w:tcPr>
          <w:p w14:paraId="66AB025F" w14:textId="77777777" w:rsidR="007C6444" w:rsidRPr="00B96F0A" w:rsidRDefault="007C6444" w:rsidP="00D52B35">
            <w:pPr>
              <w:pStyle w:val="a7"/>
              <w:numPr>
                <w:ilvl w:val="0"/>
                <w:numId w:val="1"/>
              </w:numPr>
              <w:spacing w:after="0" w:line="5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6F0A">
              <w:rPr>
                <w:rFonts w:ascii="Times New Roman" w:hAnsi="Times New Roman" w:cs="Times New Roman" w:hint="eastAsia"/>
                <w:sz w:val="20"/>
                <w:szCs w:val="20"/>
              </w:rPr>
              <w:t>托管资质与经验</w:t>
            </w:r>
          </w:p>
        </w:tc>
        <w:tc>
          <w:tcPr>
            <w:tcW w:w="5244" w:type="dxa"/>
            <w:shd w:val="clear" w:color="auto" w:fill="DBDBDB" w:themeFill="accent3" w:themeFillTint="66"/>
          </w:tcPr>
          <w:p w14:paraId="4986D5AC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C6444" w:rsidRPr="00B96F0A" w14:paraId="6414595F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32DF3C6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1.1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私</w:t>
            </w:r>
            <w:proofErr w:type="gramStart"/>
            <w:r w:rsidRPr="00B96F0A">
              <w:rPr>
                <w:rFonts w:ascii="Times New Roman" w:hAnsi="Times New Roman" w:cs="Times New Roman" w:hint="eastAsia"/>
                <w:szCs w:val="21"/>
              </w:rPr>
              <w:t>募股权投资</w:t>
            </w:r>
            <w:proofErr w:type="gramEnd"/>
            <w:r w:rsidRPr="00B96F0A">
              <w:rPr>
                <w:rFonts w:ascii="Times New Roman" w:hAnsi="Times New Roman" w:cs="Times New Roman" w:hint="eastAsia"/>
                <w:szCs w:val="21"/>
              </w:rPr>
              <w:t>基金托管牌照完备性</w:t>
            </w:r>
          </w:p>
        </w:tc>
        <w:tc>
          <w:tcPr>
            <w:tcW w:w="5244" w:type="dxa"/>
          </w:tcPr>
          <w:p w14:paraId="74EDDBC0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是否具备私</w:t>
            </w:r>
            <w:proofErr w:type="gramStart"/>
            <w:r w:rsidRPr="00B96F0A">
              <w:rPr>
                <w:rFonts w:ascii="Times New Roman" w:hAnsi="Times New Roman" w:cs="Times New Roman" w:hint="eastAsia"/>
                <w:szCs w:val="21"/>
              </w:rPr>
              <w:t>募股权投资</w:t>
            </w:r>
            <w:proofErr w:type="gramEnd"/>
            <w:r w:rsidRPr="00B96F0A">
              <w:rPr>
                <w:rFonts w:ascii="Times New Roman" w:hAnsi="Times New Roman" w:cs="Times New Roman" w:hint="eastAsia"/>
                <w:szCs w:val="21"/>
              </w:rPr>
              <w:t>基金托管牌照资质</w:t>
            </w:r>
          </w:p>
        </w:tc>
      </w:tr>
      <w:tr w:rsidR="007C6444" w:rsidRPr="00B96F0A" w14:paraId="4130D443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BB57ED4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B96F0A">
              <w:rPr>
                <w:rFonts w:ascii="Times New Roman" w:hAnsi="Times New Roman" w:cs="Times New Roman"/>
                <w:szCs w:val="21"/>
              </w:rPr>
              <w:t>.2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全国范围托管总资产规模</w:t>
            </w:r>
          </w:p>
        </w:tc>
        <w:tc>
          <w:tcPr>
            <w:tcW w:w="5244" w:type="dxa"/>
          </w:tcPr>
          <w:p w14:paraId="7CCF8BBD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截至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202</w:t>
            </w:r>
            <w:r w:rsidRPr="00B96F0A">
              <w:rPr>
                <w:rFonts w:ascii="Times New Roman" w:hAnsi="Times New Roman" w:cs="Times New Roman"/>
                <w:szCs w:val="21"/>
              </w:rPr>
              <w:t>5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月末全国范围内托管总资产规模</w:t>
            </w:r>
          </w:p>
        </w:tc>
      </w:tr>
      <w:tr w:rsidR="007C6444" w:rsidRPr="00B96F0A" w14:paraId="6D0D6D4B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94BD8E6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1.3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江苏省内托管总资产规模</w:t>
            </w:r>
          </w:p>
        </w:tc>
        <w:tc>
          <w:tcPr>
            <w:tcW w:w="5244" w:type="dxa"/>
          </w:tcPr>
          <w:p w14:paraId="3DCC98C4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截至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202</w:t>
            </w:r>
            <w:r w:rsidRPr="00B96F0A">
              <w:rPr>
                <w:rFonts w:ascii="Times New Roman" w:hAnsi="Times New Roman" w:cs="Times New Roman"/>
                <w:szCs w:val="21"/>
              </w:rPr>
              <w:t>5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月末江苏省内托管总资产规模</w:t>
            </w:r>
          </w:p>
        </w:tc>
      </w:tr>
      <w:tr w:rsidR="007C6444" w:rsidRPr="00B96F0A" w14:paraId="02EA5EAE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726CB23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1.</w:t>
            </w:r>
            <w:r w:rsidRPr="00B96F0A">
              <w:rPr>
                <w:rFonts w:ascii="Times New Roman" w:hAnsi="Times New Roman" w:cs="Times New Roman"/>
                <w:szCs w:val="21"/>
              </w:rPr>
              <w:t>4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全国范围私</w:t>
            </w:r>
            <w:proofErr w:type="gramStart"/>
            <w:r w:rsidRPr="00B96F0A">
              <w:rPr>
                <w:rFonts w:ascii="Times New Roman" w:hAnsi="Times New Roman" w:cs="Times New Roman" w:hint="eastAsia"/>
                <w:szCs w:val="21"/>
              </w:rPr>
              <w:t>募股权投资</w:t>
            </w:r>
            <w:proofErr w:type="gramEnd"/>
            <w:r w:rsidRPr="00B96F0A">
              <w:rPr>
                <w:rFonts w:ascii="Times New Roman" w:hAnsi="Times New Roman" w:cs="Times New Roman" w:hint="eastAsia"/>
                <w:szCs w:val="21"/>
              </w:rPr>
              <w:t>基金托管规模</w:t>
            </w:r>
          </w:p>
        </w:tc>
        <w:tc>
          <w:tcPr>
            <w:tcW w:w="5244" w:type="dxa"/>
          </w:tcPr>
          <w:p w14:paraId="664BBEFA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截至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202</w:t>
            </w:r>
            <w:r w:rsidRPr="00B96F0A">
              <w:rPr>
                <w:rFonts w:ascii="Times New Roman" w:hAnsi="Times New Roman" w:cs="Times New Roman"/>
                <w:szCs w:val="21"/>
              </w:rPr>
              <w:t>5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月末全国范围</w:t>
            </w:r>
            <w:proofErr w:type="gramStart"/>
            <w:r w:rsidRPr="00B96F0A">
              <w:rPr>
                <w:rFonts w:ascii="Times New Roman" w:hAnsi="Times New Roman" w:cs="Times New Roman" w:hint="eastAsia"/>
                <w:szCs w:val="21"/>
              </w:rPr>
              <w:t>内私募股权投资</w:t>
            </w:r>
            <w:proofErr w:type="gramEnd"/>
            <w:r w:rsidRPr="00B96F0A">
              <w:rPr>
                <w:rFonts w:ascii="Times New Roman" w:hAnsi="Times New Roman" w:cs="Times New Roman" w:hint="eastAsia"/>
                <w:szCs w:val="21"/>
              </w:rPr>
              <w:t>基金托管规模</w:t>
            </w:r>
          </w:p>
        </w:tc>
      </w:tr>
      <w:tr w:rsidR="007C6444" w:rsidRPr="00B96F0A" w14:paraId="32A591AD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43EF53A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1.</w:t>
            </w:r>
            <w:r w:rsidRPr="00B96F0A">
              <w:rPr>
                <w:rFonts w:ascii="Times New Roman" w:hAnsi="Times New Roman" w:cs="Times New Roman"/>
                <w:szCs w:val="21"/>
              </w:rPr>
              <w:t>5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江苏省</w:t>
            </w:r>
            <w:proofErr w:type="gramStart"/>
            <w:r w:rsidRPr="00B96F0A">
              <w:rPr>
                <w:rFonts w:ascii="Times New Roman" w:hAnsi="Times New Roman" w:cs="Times New Roman" w:hint="eastAsia"/>
                <w:szCs w:val="21"/>
              </w:rPr>
              <w:t>内私募股权投资</w:t>
            </w:r>
            <w:proofErr w:type="gramEnd"/>
            <w:r w:rsidRPr="00B96F0A">
              <w:rPr>
                <w:rFonts w:ascii="Times New Roman" w:hAnsi="Times New Roman" w:cs="Times New Roman" w:hint="eastAsia"/>
                <w:szCs w:val="21"/>
              </w:rPr>
              <w:t>基金托管规模</w:t>
            </w:r>
          </w:p>
        </w:tc>
        <w:tc>
          <w:tcPr>
            <w:tcW w:w="5244" w:type="dxa"/>
          </w:tcPr>
          <w:p w14:paraId="2E529EDF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bookmarkStart w:id="1" w:name="OLE_LINK47"/>
            <w:bookmarkStart w:id="2" w:name="OLE_LINK48"/>
            <w:r w:rsidRPr="00B96F0A">
              <w:rPr>
                <w:rFonts w:ascii="Times New Roman" w:hAnsi="Times New Roman" w:cs="Times New Roman" w:hint="eastAsia"/>
                <w:szCs w:val="21"/>
              </w:rPr>
              <w:t>截至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202</w:t>
            </w:r>
            <w:r w:rsidRPr="00B96F0A">
              <w:rPr>
                <w:rFonts w:ascii="Times New Roman" w:hAnsi="Times New Roman" w:cs="Times New Roman"/>
                <w:szCs w:val="21"/>
              </w:rPr>
              <w:t>5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年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月末江苏省</w:t>
            </w:r>
            <w:proofErr w:type="gramStart"/>
            <w:r w:rsidRPr="00B96F0A">
              <w:rPr>
                <w:rFonts w:ascii="Times New Roman" w:hAnsi="Times New Roman" w:cs="Times New Roman" w:hint="eastAsia"/>
                <w:szCs w:val="21"/>
              </w:rPr>
              <w:t>内私募股权投资</w:t>
            </w:r>
            <w:proofErr w:type="gramEnd"/>
            <w:r w:rsidRPr="00B96F0A">
              <w:rPr>
                <w:rFonts w:ascii="Times New Roman" w:hAnsi="Times New Roman" w:cs="Times New Roman" w:hint="eastAsia"/>
                <w:szCs w:val="21"/>
              </w:rPr>
              <w:t>基金托管规模</w:t>
            </w:r>
            <w:bookmarkEnd w:id="1"/>
            <w:bookmarkEnd w:id="2"/>
          </w:p>
        </w:tc>
      </w:tr>
      <w:tr w:rsidR="007C6444" w:rsidRPr="00B96F0A" w14:paraId="76689DBA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BDBDB" w:themeFill="accent3" w:themeFillTint="66"/>
          </w:tcPr>
          <w:p w14:paraId="14D26A53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2.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运营效率与系统支持</w:t>
            </w:r>
          </w:p>
        </w:tc>
        <w:tc>
          <w:tcPr>
            <w:tcW w:w="5244" w:type="dxa"/>
            <w:shd w:val="clear" w:color="auto" w:fill="DBDBDB" w:themeFill="accent3" w:themeFillTint="66"/>
          </w:tcPr>
          <w:p w14:paraId="6745A8C6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C6444" w:rsidRPr="00B96F0A" w14:paraId="28DA8382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677D4B2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2.1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资金清算时效</w:t>
            </w:r>
          </w:p>
        </w:tc>
        <w:tc>
          <w:tcPr>
            <w:tcW w:w="5244" w:type="dxa"/>
          </w:tcPr>
          <w:p w14:paraId="5E276856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T+0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日终前完成资金划付的比例</w:t>
            </w:r>
          </w:p>
        </w:tc>
      </w:tr>
      <w:tr w:rsidR="007C6444" w:rsidRPr="00B96F0A" w14:paraId="4176A8C1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1F3EB04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2.2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系统对接兼容性</w:t>
            </w:r>
          </w:p>
        </w:tc>
        <w:tc>
          <w:tcPr>
            <w:tcW w:w="5244" w:type="dxa"/>
          </w:tcPr>
          <w:p w14:paraId="658BDBA8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是否支持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API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直连、与主流估值系统无缝对接</w:t>
            </w:r>
          </w:p>
        </w:tc>
      </w:tr>
      <w:tr w:rsidR="007C6444" w:rsidRPr="00B96F0A" w14:paraId="7C80540D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034BD19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2.3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应急响应机制</w:t>
            </w:r>
          </w:p>
        </w:tc>
        <w:tc>
          <w:tcPr>
            <w:tcW w:w="5244" w:type="dxa"/>
          </w:tcPr>
          <w:p w14:paraId="0247186A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系统故障恢复时间（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RTO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</w:tr>
      <w:tr w:rsidR="007C6444" w:rsidRPr="00B96F0A" w14:paraId="470DD336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BDBDB" w:themeFill="accent3" w:themeFillTint="66"/>
          </w:tcPr>
          <w:p w14:paraId="6225721E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3.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费用成本</w:t>
            </w:r>
          </w:p>
        </w:tc>
        <w:tc>
          <w:tcPr>
            <w:tcW w:w="5244" w:type="dxa"/>
            <w:shd w:val="clear" w:color="auto" w:fill="DBDBDB" w:themeFill="accent3" w:themeFillTint="66"/>
          </w:tcPr>
          <w:p w14:paraId="5197C92E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C6444" w:rsidRPr="00B96F0A" w14:paraId="74BCAFE1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86C8EDD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3.1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托管费率</w:t>
            </w:r>
          </w:p>
        </w:tc>
        <w:tc>
          <w:tcPr>
            <w:tcW w:w="5244" w:type="dxa"/>
          </w:tcPr>
          <w:p w14:paraId="77B1A2BA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年化费率（按基金规模分档报价）</w:t>
            </w:r>
          </w:p>
        </w:tc>
      </w:tr>
      <w:tr w:rsidR="007C6444" w:rsidRPr="00B96F0A" w14:paraId="30217B77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5B443C0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3.2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隐形收费透明度</w:t>
            </w:r>
          </w:p>
        </w:tc>
        <w:tc>
          <w:tcPr>
            <w:tcW w:w="5244" w:type="dxa"/>
          </w:tcPr>
          <w:p w14:paraId="6F97DDB6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账户管理费等附加费用清单清晰度</w:t>
            </w:r>
          </w:p>
        </w:tc>
      </w:tr>
      <w:tr w:rsidR="007C6444" w:rsidRPr="00B96F0A" w14:paraId="69F0E63F" w14:textId="77777777" w:rsidTr="00CA19FF">
        <w:trPr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BDBDB" w:themeFill="accent3" w:themeFillTint="66"/>
          </w:tcPr>
          <w:p w14:paraId="0F8A50E3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4.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客户服务能力</w:t>
            </w:r>
          </w:p>
        </w:tc>
        <w:tc>
          <w:tcPr>
            <w:tcW w:w="5244" w:type="dxa"/>
            <w:shd w:val="clear" w:color="auto" w:fill="DBDBDB" w:themeFill="accent3" w:themeFillTint="66"/>
          </w:tcPr>
          <w:p w14:paraId="484DC0F9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C6444" w:rsidRPr="00B96F0A" w14:paraId="35DABCD2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BDFE43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4.1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专属团队配置</w:t>
            </w:r>
          </w:p>
        </w:tc>
        <w:tc>
          <w:tcPr>
            <w:tcW w:w="5244" w:type="dxa"/>
          </w:tcPr>
          <w:p w14:paraId="68D04873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落地支行服务机构简介；</w:t>
            </w:r>
          </w:p>
          <w:p w14:paraId="19784423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专职团队人员构成（含层级、岗位构成）。</w:t>
            </w:r>
          </w:p>
        </w:tc>
      </w:tr>
      <w:tr w:rsidR="007C6444" w:rsidRPr="00B96F0A" w14:paraId="5FB25FCB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38A906B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4.2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响应速度</w:t>
            </w:r>
          </w:p>
        </w:tc>
        <w:tc>
          <w:tcPr>
            <w:tcW w:w="5244" w:type="dxa"/>
          </w:tcPr>
          <w:p w14:paraId="15D32154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 7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×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24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小时指令受理、工作日邮件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电话回复时效</w:t>
            </w:r>
          </w:p>
        </w:tc>
      </w:tr>
      <w:tr w:rsidR="007C6444" w:rsidRPr="00B96F0A" w14:paraId="3C26ED34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11C523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4.3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日常服务</w:t>
            </w:r>
          </w:p>
        </w:tc>
        <w:tc>
          <w:tcPr>
            <w:tcW w:w="5244" w:type="dxa"/>
          </w:tcPr>
          <w:p w14:paraId="19C4BA1E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）托管报告定制服务（含每季度完成时间）；</w:t>
            </w:r>
          </w:p>
          <w:p w14:paraId="2B24C1AE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lastRenderedPageBreak/>
              <w:t>（</w:t>
            </w:r>
            <w:r w:rsidRPr="00B96F0A">
              <w:rPr>
                <w:rFonts w:ascii="Times New Roman" w:hAnsi="Times New Roman" w:cs="Times New Roman"/>
                <w:szCs w:val="21"/>
              </w:rPr>
              <w:t>2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）提供有竞争力的现金管理产品。</w:t>
            </w:r>
          </w:p>
        </w:tc>
      </w:tr>
      <w:tr w:rsidR="007C6444" w:rsidRPr="00B96F0A" w14:paraId="71BCF7C9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66B82F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lastRenderedPageBreak/>
              <w:t xml:space="preserve">4.3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增值服务</w:t>
            </w:r>
          </w:p>
        </w:tc>
        <w:tc>
          <w:tcPr>
            <w:tcW w:w="5244" w:type="dxa"/>
          </w:tcPr>
          <w:p w14:paraId="4BB4CA2D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其他增值服务方案</w:t>
            </w:r>
          </w:p>
        </w:tc>
      </w:tr>
      <w:tr w:rsidR="007C6444" w:rsidRPr="00B96F0A" w14:paraId="3E5F57DE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BDBDB" w:themeFill="accent3" w:themeFillTint="66"/>
          </w:tcPr>
          <w:p w14:paraId="797AD93F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5.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风险合</w:t>
            </w:r>
            <w:proofErr w:type="gramStart"/>
            <w:r w:rsidRPr="00B96F0A">
              <w:rPr>
                <w:rFonts w:ascii="Times New Roman" w:hAnsi="Times New Roman" w:cs="Times New Roman" w:hint="eastAsia"/>
                <w:szCs w:val="21"/>
              </w:rPr>
              <w:t>规</w:t>
            </w:r>
            <w:proofErr w:type="gramEnd"/>
          </w:p>
        </w:tc>
        <w:tc>
          <w:tcPr>
            <w:tcW w:w="5244" w:type="dxa"/>
            <w:shd w:val="clear" w:color="auto" w:fill="DBDBDB" w:themeFill="accent3" w:themeFillTint="66"/>
          </w:tcPr>
          <w:p w14:paraId="78ED3035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C6444" w:rsidRPr="00B96F0A" w14:paraId="29BADAD3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ABAA7CD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5.1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违规记录</w:t>
            </w:r>
          </w:p>
        </w:tc>
        <w:tc>
          <w:tcPr>
            <w:tcW w:w="5244" w:type="dxa"/>
          </w:tcPr>
          <w:p w14:paraId="15C4609B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近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年是否因托管业务受监管处罚</w:t>
            </w:r>
          </w:p>
        </w:tc>
      </w:tr>
      <w:tr w:rsidR="007C6444" w:rsidRPr="00B96F0A" w14:paraId="5E21CBCF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0699331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5.2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托管协议</w:t>
            </w:r>
          </w:p>
        </w:tc>
        <w:tc>
          <w:tcPr>
            <w:tcW w:w="5244" w:type="dxa"/>
          </w:tcPr>
          <w:p w14:paraId="6D407DAA" w14:textId="77777777" w:rsidR="007C6444" w:rsidRPr="00B96F0A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>《托管协议》在符合监管要求情况下，可根据客户需求协商修订</w:t>
            </w:r>
          </w:p>
        </w:tc>
      </w:tr>
      <w:tr w:rsidR="007C6444" w14:paraId="789B76C1" w14:textId="77777777" w:rsidTr="00CA19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BDBDB" w:themeFill="accent3" w:themeFillTint="66"/>
          </w:tcPr>
          <w:p w14:paraId="51949F63" w14:textId="77777777" w:rsidR="007C6444" w:rsidRPr="00B96F0A" w:rsidRDefault="007C6444" w:rsidP="00D52B35">
            <w:pPr>
              <w:spacing w:line="560" w:lineRule="exact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B96F0A">
              <w:rPr>
                <w:rFonts w:ascii="Times New Roman" w:hAnsi="Times New Roman" w:cs="Times New Roman" w:hint="eastAsia"/>
                <w:szCs w:val="21"/>
              </w:rPr>
              <w:t xml:space="preserve">6. </w:t>
            </w:r>
            <w:r w:rsidRPr="00B96F0A">
              <w:rPr>
                <w:rFonts w:ascii="Times New Roman" w:hAnsi="Times New Roman" w:cs="Times New Roman" w:hint="eastAsia"/>
                <w:szCs w:val="21"/>
              </w:rPr>
              <w:t>战略协同</w:t>
            </w:r>
          </w:p>
        </w:tc>
        <w:tc>
          <w:tcPr>
            <w:tcW w:w="5244" w:type="dxa"/>
            <w:shd w:val="clear" w:color="auto" w:fill="DBDBDB" w:themeFill="accent3" w:themeFillTint="66"/>
          </w:tcPr>
          <w:p w14:paraId="4DB374FA" w14:textId="77777777" w:rsidR="007C6444" w:rsidRDefault="007C6444" w:rsidP="00D52B35">
            <w:pPr>
              <w:spacing w:line="5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B96F0A">
              <w:rPr>
                <w:rFonts w:hint="eastAsia"/>
                <w:color w:val="000000" w:themeColor="text1"/>
              </w:rPr>
              <w:t>是否具备与江苏省当地的资源整合能力，如投贷联动、项目推介、投资生态圈建设等方案或案例</w:t>
            </w:r>
          </w:p>
        </w:tc>
      </w:tr>
    </w:tbl>
    <w:p w14:paraId="7F27C571" w14:textId="77777777" w:rsidR="007C6444" w:rsidRPr="00DD0C83" w:rsidRDefault="007C6444" w:rsidP="007C6444">
      <w:pPr>
        <w:spacing w:line="560" w:lineRule="exact"/>
        <w:rPr>
          <w:rFonts w:ascii="仿宋_GB2312" w:eastAsia="仿宋_GB2312" w:hAnsi="仿宋" w:hint="eastAsia"/>
          <w:kern w:val="0"/>
          <w:sz w:val="32"/>
          <w:szCs w:val="32"/>
        </w:rPr>
      </w:pPr>
    </w:p>
    <w:p w14:paraId="33CE7FA8" w14:textId="77777777" w:rsidR="007C6444" w:rsidRPr="002C0EB7" w:rsidRDefault="007C6444" w:rsidP="007C6444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14041066" w14:textId="77777777" w:rsidR="00DF02B8" w:rsidRPr="007C6444" w:rsidRDefault="00DF02B8">
      <w:pPr>
        <w:rPr>
          <w:rFonts w:hint="eastAsia"/>
        </w:rPr>
      </w:pPr>
    </w:p>
    <w:sectPr w:rsidR="00DF02B8" w:rsidRPr="007C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2899" w14:textId="77777777" w:rsidR="00C67E66" w:rsidRDefault="00C67E66" w:rsidP="007C6444">
      <w:pPr>
        <w:rPr>
          <w:rFonts w:hint="eastAsia"/>
        </w:rPr>
      </w:pPr>
      <w:r>
        <w:separator/>
      </w:r>
    </w:p>
  </w:endnote>
  <w:endnote w:type="continuationSeparator" w:id="0">
    <w:p w14:paraId="4DC2CDC5" w14:textId="77777777" w:rsidR="00C67E66" w:rsidRDefault="00C67E66" w:rsidP="007C64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E224" w14:textId="77777777" w:rsidR="00C67E66" w:rsidRDefault="00C67E66" w:rsidP="007C6444">
      <w:pPr>
        <w:rPr>
          <w:rFonts w:hint="eastAsia"/>
        </w:rPr>
      </w:pPr>
      <w:r>
        <w:separator/>
      </w:r>
    </w:p>
  </w:footnote>
  <w:footnote w:type="continuationSeparator" w:id="0">
    <w:p w14:paraId="31E948A8" w14:textId="77777777" w:rsidR="00C67E66" w:rsidRDefault="00C67E66" w:rsidP="007C644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56E22"/>
    <w:multiLevelType w:val="multilevel"/>
    <w:tmpl w:val="68456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49730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02"/>
    <w:rsid w:val="00374706"/>
    <w:rsid w:val="005D636C"/>
    <w:rsid w:val="007C5302"/>
    <w:rsid w:val="007C6444"/>
    <w:rsid w:val="009051DA"/>
    <w:rsid w:val="00B96F0A"/>
    <w:rsid w:val="00C67E66"/>
    <w:rsid w:val="00CA19FF"/>
    <w:rsid w:val="00D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2797E"/>
  <w15:chartTrackingRefBased/>
  <w15:docId w15:val="{5440EEF9-C315-4D4D-B4F6-718A93D1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4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444"/>
    <w:rPr>
      <w:sz w:val="18"/>
      <w:szCs w:val="18"/>
    </w:rPr>
  </w:style>
  <w:style w:type="paragraph" w:styleId="a7">
    <w:name w:val="List Paragraph"/>
    <w:basedOn w:val="a"/>
    <w:uiPriority w:val="34"/>
    <w:qFormat/>
    <w:rsid w:val="007C644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table" w:customStyle="1" w:styleId="11">
    <w:name w:val="无格式表格 11"/>
    <w:basedOn w:val="a1"/>
    <w:uiPriority w:val="41"/>
    <w:rsid w:val="007C6444"/>
    <w:rPr>
      <w:rFonts w:ascii="等线" w:eastAsia="等线" w:hAnsi="等线" w:cs="等线"/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96F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96F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滕宸</dc:creator>
  <cp:keywords/>
  <dc:description/>
  <cp:lastModifiedBy>崔雅欣</cp:lastModifiedBy>
  <cp:revision>4</cp:revision>
  <cp:lastPrinted>2025-11-24T08:30:00Z</cp:lastPrinted>
  <dcterms:created xsi:type="dcterms:W3CDTF">2025-11-24T08:19:00Z</dcterms:created>
  <dcterms:modified xsi:type="dcterms:W3CDTF">2025-11-24T09:54:00Z</dcterms:modified>
</cp:coreProperties>
</file>